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 xml:space="preserve">DISPENSA  ELETRÔNICA N° </w:t>
      </w:r>
      <w:r>
        <w:rPr>
          <w:b/>
          <w:bCs/>
          <w:sz w:val="22"/>
          <w:szCs w:val="22"/>
        </w:rPr>
        <w:t>8</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 xml:space="preserve">DISPENSA ELETRÔNICA N° </w:t>
      </w:r>
      <w:r>
        <w:rPr>
          <w:b/>
          <w:bCs/>
          <w:sz w:val="22"/>
          <w:szCs w:val="22"/>
        </w:rPr>
        <w:t>8</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 xml:space="preserve">(NOME DA EMPRESA, CNPJ, ENDEREÇO, etc.), neste ato representada por (REPRESENTANTE DA EMPRESA), portador do RG nº ............., inscrito sob CPF nº........................, sob as penas da lei, para todos os fins, na qualidade de proponente na </w:t>
      </w:r>
      <w:r>
        <w:rPr>
          <w:rFonts w:cs="TimesNewRomanPSMT"/>
          <w:b/>
          <w:bCs/>
          <w:sz w:val="22"/>
          <w:szCs w:val="22"/>
        </w:rPr>
        <w:t xml:space="preserve">DISPENSA ELETRÔNICA Nº </w:t>
      </w:r>
      <w:r>
        <w:rPr>
          <w:rFonts w:cs="TimesNewRomanPSMT"/>
          <w:b/>
          <w:bCs/>
          <w:sz w:val="22"/>
          <w:szCs w:val="22"/>
        </w:rPr>
        <w:t>8</w:t>
      </w:r>
      <w:r>
        <w:rPr>
          <w:rFonts w:cs="TimesNewRomanPSMT"/>
          <w:b/>
          <w:bCs/>
          <w:sz w:val="22"/>
          <w:szCs w:val="22"/>
        </w:rPr>
        <w:t>/2025</w:t>
      </w:r>
      <w:r>
        <w:rPr>
          <w:rFonts w:cs="TimesNewRomanPSMT"/>
          <w:bCs/>
          <w:sz w:val="22"/>
          <w:szCs w:val="22"/>
        </w:rPr>
        <w:t>,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b/>
          <w:bCs/>
          <w:sz w:val="22"/>
          <w:szCs w:val="22"/>
        </w:rPr>
        <w:t xml:space="preserve">DISPENSA ELETRÔNICA Nº </w:t>
      </w:r>
      <w:r>
        <w:rPr>
          <w:rFonts w:eastAsia="Arial" w:cs="Arial"/>
          <w:b/>
          <w:bCs/>
          <w:sz w:val="22"/>
          <w:szCs w:val="22"/>
        </w:rPr>
        <w:t>8</w:t>
      </w:r>
      <w:r>
        <w:rPr>
          <w:rFonts w:eastAsia="Arial" w:cs="Arial"/>
          <w:b/>
          <w:bCs/>
          <w:sz w:val="22"/>
          <w:szCs w:val="22"/>
        </w:rPr>
        <w:t>/2025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suppressAutoHyphens w:val="true"/>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2048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LibreOffice/7.2.5.2$Windows_X86_64 LibreOffice_project/499f9727c189e6ef3471021d6132d4c694f357e5</Application>
  <AppVersion>15.0000</AppVersion>
  <Pages>4</Pages>
  <Words>812</Words>
  <Characters>4428</Characters>
  <CharactersWithSpaces>5233</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2025-12-04T10:58:59Z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file>